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Плуги AMAZONE теперь с интегрированной системой пакера Furrow Press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Сотрудничество в области сбыта с VSS Machinebouw B.V. </w:t>
      </w:r>
    </w:p>
    <w:p w14:paraId="65EA582A" w14:textId="77777777" w:rsidR="00161FDD" w:rsidRDefault="00161FDD" w:rsidP="00161FDD">
      <w:pPr>
        <w:spacing w:line="360" w:lineRule="auto"/>
        <w:ind w:left="567" w:right="1695"/>
        <w:rPr>
          <w:rFonts w:ascii="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hAnsi="Arial"/>
        </w:rPr>
        <w:t xml:space="preserve">Компания AMAZONEN-WERKE начинают сотрудничество с VSS Machinebouw B.V. в Оделанде из Нидерландов. Предприятие VSS Machinebouw уже много лет известно в сельском хозяйстве как производитель профессиональных упаковочных и прокатных машин под торговой маркой VSS Agro и в будущем расширит ассортимент плугов AMAZONE в этом сегменте. Это позволяет партнерам по сбыту AMAZONE и клиентам использовать многолетнее ноу-хау специалиста, когда речь идет о целенаправленном и специфичном для конкретной местности обратном уплотнении после отвальной обработки почвы.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hAnsi="Arial"/>
        </w:rPr>
        <w:t xml:space="preserve">Теперь при эксплуатации плуга AMAZONE можно использовать интегрированную систему пакера VSS Agro Furrow Press в различных вариантах оснащения. </w:t>
      </w:r>
      <w:bookmarkStart w:id="0" w:name="_Hlk184732999"/>
      <w:r>
        <w:rPr>
          <w:rFonts w:ascii="Arial" w:hAnsi="Arial"/>
        </w:rPr>
        <w:t>Комплект переоборудования совместим с моделями Teres 300 и Teres 300 V, без гидравлического предохранительного механизма, а также с Cayros XMS с 3 или 4 лемехами, также без гидравлического предохранительного механизма.</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hAnsi="Arial"/>
        </w:rPr>
        <w:t>Пакер Furrow Press следует параллельно плугу и автоматически адаптируется к ширине захвата, за счет чего удается избежать двойного обратного уплотнения на соответствующих участках. Благодаря этому обратное уплотнение всегда осуществляется равномерно даже при изменении ширины захвата. Кроме того, Furrow Press позволяет использовать его на поле, начиная уже с первой борозды. С интегрированной системой пакера возможна также вспашка вблизи границ поля, на разворотной полосе.</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hAnsi="Arial"/>
        </w:rPr>
        <w:lastRenderedPageBreak/>
        <w:t xml:space="preserve">VSS Machinebouw предлагает кольца пакера различных размеров. В комбинации с плугом AMAZONE кольца диаметром 710 мм позволяют проводить эффективное обратное уплотнение, в особенности на тяжелых почвах. Давление пакера можно регулировать либо механически, с помощью упорных винтов, либо гидравлически.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Жесткое соединение с плугом дает существенное преимущество во времени при транспортировке между полем и хозяйством, поскольку нет необходимости в отдельной транспортировке пакера. В дизайне AMAZONE орудия создают гармоничное единство, которое впечатляет как с технической точки зрения, так и визуально.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продолжает предлагать в ассортименте своей продукции прицепные пакеры компании Tigges.</w:t>
      </w: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Pr>
          <w:rFonts w:ascii="Arial" w:hAnsi="Arial"/>
        </w:rPr>
        <w:t>С комплектом переоборудования FurrowPress можно использовать преимущества интегрированной системы пакера также и на плугах AMAZONE.</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AE7FB7">
      <w:pPr>
        <w:spacing w:after="120" w:line="360" w:lineRule="auto"/>
        <w:ind w:left="567" w:right="1411"/>
        <w:rPr>
          <w:rFonts w:ascii="Arial" w:eastAsia="Arial" w:hAnsi="Arial" w:cs="Arial"/>
        </w:rPr>
      </w:pPr>
      <w:r>
        <w:rPr>
          <w:rFonts w:ascii="Arial" w:hAnsi="Arial"/>
        </w:rPr>
        <w:t>Кооперация компаний VSS Machinebouw B.V. и AMAZONE позволила расширить предложения по различным возможностям проведения обратного уплотнения. </w:t>
      </w:r>
    </w:p>
    <w:p w14:paraId="24423D63" w14:textId="28E41873" w:rsidR="00673EC2" w:rsidRPr="003C6387" w:rsidRDefault="00673EC2" w:rsidP="003C6387">
      <w:pPr>
        <w:spacing w:after="120" w:line="360" w:lineRule="auto"/>
        <w:ind w:left="567" w:right="1695"/>
        <w:rPr>
          <w:rFonts w:ascii="Arial" w:eastAsia="Arial" w:hAnsi="Arial" w:cs="Arial"/>
        </w:rPr>
      </w:pPr>
    </w:p>
    <w:p w14:paraId="5020C476" w14:textId="3192646B" w:rsidR="0042637A" w:rsidRDefault="0042637A">
      <w:pPr>
        <w:rPr>
          <w:rFonts w:ascii="Arial" w:eastAsia="Arial" w:hAnsi="Arial" w:cs="Arial"/>
        </w:rPr>
      </w:pPr>
      <w:r>
        <w:rPr>
          <w:rFonts w:ascii="Arial" w:eastAsia="Arial" w:hAnsi="Arial" w:cs="Arial"/>
        </w:rPr>
        <w:br w:type="page"/>
      </w:r>
    </w:p>
    <w:p w14:paraId="582333B6" w14:textId="77777777" w:rsidR="00BF720E" w:rsidRDefault="00BF720E"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7F8944CC" w14:textId="7544DEDA"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2000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r w:rsidR="0042637A">
        <w:fldChar w:fldCharType="begin"/>
      </w:r>
      <w:r w:rsidR="0042637A">
        <w:instrText>HYPERLINK "http://www.amazone.net/ru"</w:instrText>
      </w:r>
      <w:r w:rsidR="0042637A">
        <w:fldChar w:fldCharType="separate"/>
      </w:r>
      <w:r w:rsidR="0042637A" w:rsidRPr="00367146">
        <w:rPr>
          <w:rStyle w:val="Hyperlink"/>
          <w:rFonts w:ascii="Arial" w:hAnsi="Arial"/>
          <w:sz w:val="20"/>
        </w:rPr>
        <w:t>www.amazone.</w:t>
      </w:r>
      <w:proofErr w:type="spellStart"/>
      <w:r w:rsidR="0042637A" w:rsidRPr="00367146">
        <w:rPr>
          <w:rStyle w:val="Hyperlink"/>
          <w:rFonts w:ascii="Arial" w:hAnsi="Arial"/>
          <w:sz w:val="20"/>
          <w:lang w:val="de-DE"/>
        </w:rPr>
        <w:t>net</w:t>
      </w:r>
      <w:proofErr w:type="spellEnd"/>
      <w:r w:rsidR="0042637A" w:rsidRPr="00367146">
        <w:rPr>
          <w:rStyle w:val="Hyperlink"/>
          <w:rFonts w:ascii="Arial" w:hAnsi="Arial"/>
          <w:sz w:val="20"/>
          <w:lang w:val="de-DE"/>
        </w:rPr>
        <w:t>/</w:t>
      </w:r>
      <w:proofErr w:type="spellStart"/>
      <w:r w:rsidR="0042637A" w:rsidRPr="00367146">
        <w:rPr>
          <w:rStyle w:val="Hyperlink"/>
          <w:rFonts w:ascii="Arial" w:hAnsi="Arial"/>
          <w:sz w:val="20"/>
          <w:lang w:val="de-DE"/>
        </w:rPr>
        <w:t>ru</w:t>
      </w:r>
      <w:proofErr w:type="spellEnd"/>
      <w:r w:rsidR="0042637A">
        <w:rPr>
          <w:rStyle w:val="Hyperlink"/>
          <w:rFonts w:ascii="Arial" w:hAnsi="Arial"/>
          <w:sz w:val="20"/>
          <w:lang w:val="de-DE"/>
        </w:rPr>
        <w:fldChar w:fldCharType="end"/>
      </w:r>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5"/>
      <w:footerReference w:type="default" r:id="rId26"/>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224EFC92" w:rsidR="005E0980" w:rsidRPr="0093254A"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E0135"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224EFC92" w:rsidR="005E0980" w:rsidRPr="0093254A"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Пресс-релиз январь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Пресс-релиз январь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5740"/>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2481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2637A"/>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4AB"/>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20EB"/>
    <w:rsid w:val="00B1395A"/>
    <w:rsid w:val="00B14395"/>
    <w:rsid w:val="00B14C7E"/>
    <w:rsid w:val="00B15363"/>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426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7.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444</Words>
  <Characters>3207</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Пресс-релиз</dc:title>
  <dc:subject/>
  <dc:creator/>
  <cp:keywords/>
  <dc:description/>
  <cp:lastModifiedBy>Berelsmann Nadine</cp:lastModifiedBy>
  <cp:revision>26</cp:revision>
  <cp:lastPrinted>2024-12-11T10:47:00Z</cp:lastPrinted>
  <dcterms:created xsi:type="dcterms:W3CDTF">2024-10-16T08:47:00Z</dcterms:created>
  <dcterms:modified xsi:type="dcterms:W3CDTF">2025-01-21T08:55:00Z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